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Corrales Anna-Lisa Christina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VROOM,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4700 MERCANTILE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Vroom,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CLO, CCO,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76137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41,460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which will vest in five installments as follows: (i) 2,330 shares on January 11, 2028; (ii) 2,330 shares on January 25, 2028; (iii) 2,330 shares on February 7, 2028; (iv) 2,330 shares on February 17, 2028; and (v) 1,111 shares on March 30, 2028, in each case subject to the Reporting Person's continued service on such date. Each RSU represents a contingent right to receive one share of common stock of the Issuer.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/s/Anna-Lisa Corrales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984" TargetMode="External"/><Relationship Id="rId14" Type="http://schemas.openxmlformats.org/officeDocument/2006/relationships/hyperlink" Target="http://www.sec.gov/cgi-bin/browse-edgar?action=getcompany&amp;CIK=0001580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2026-07-02T12:59:54Z</dcterms:created>
  <dcterms:modified xsi:type="dcterms:W3CDTF">2026-07-02T12:59:54Z</dcterms:modified>
</cp:coreProperties>
</file>